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74" w:rsidRDefault="002B4974" w:rsidP="006E2E89">
      <w:pPr>
        <w:pStyle w:val="INtitle2"/>
        <w:numPr>
          <w:ilvl w:val="0"/>
          <w:numId w:val="0"/>
        </w:numPr>
        <w:spacing w:before="0"/>
        <w:jc w:val="center"/>
        <w:rPr>
          <w:lang w:val="hu-HU"/>
        </w:rPr>
      </w:pPr>
      <w:bookmarkStart w:id="0" w:name="_Toc336590714"/>
      <w:bookmarkStart w:id="1" w:name="_Toc340061998"/>
    </w:p>
    <w:p w:rsidR="008C0784" w:rsidRDefault="00E01630" w:rsidP="006E2E89">
      <w:pPr>
        <w:pStyle w:val="INtitle2"/>
        <w:numPr>
          <w:ilvl w:val="0"/>
          <w:numId w:val="0"/>
        </w:numPr>
        <w:spacing w:before="0"/>
        <w:jc w:val="center"/>
        <w:rPr>
          <w:lang w:val="hu-HU"/>
        </w:rPr>
      </w:pPr>
      <w:r w:rsidRPr="009472C8">
        <w:rPr>
          <w:i w:val="0"/>
          <w:lang w:val="hu-HU"/>
        </w:rPr>
        <w:t>N</w:t>
      </w:r>
      <w:bookmarkStart w:id="2" w:name="_GoBack"/>
      <w:bookmarkEnd w:id="2"/>
      <w:r w:rsidRPr="009472C8">
        <w:rPr>
          <w:i w:val="0"/>
          <w:lang w:val="hu-HU"/>
        </w:rPr>
        <w:t>émetország</w:t>
      </w:r>
      <w:bookmarkEnd w:id="0"/>
      <w:bookmarkEnd w:id="1"/>
    </w:p>
    <w:p w:rsidR="002B4974" w:rsidRPr="002B4974" w:rsidRDefault="002B4974" w:rsidP="002B4974">
      <w:pPr>
        <w:pStyle w:val="INnormal"/>
        <w:spacing w:after="0" w:line="240" w:lineRule="auto"/>
        <w:rPr>
          <w:rFonts w:ascii="Arial" w:hAnsi="Arial" w:cs="Arial"/>
          <w:sz w:val="18"/>
          <w:szCs w:val="18"/>
          <w:lang w:val="hu-HU"/>
        </w:rPr>
      </w:pPr>
    </w:p>
    <w:p w:rsidR="009456DF" w:rsidRPr="00391A49" w:rsidRDefault="00E01630" w:rsidP="00391A49">
      <w:pPr>
        <w:pStyle w:val="INnormal"/>
        <w:jc w:val="both"/>
        <w:rPr>
          <w:rFonts w:ascii="Arial" w:hAnsi="Arial" w:cs="Arial"/>
          <w:sz w:val="18"/>
          <w:szCs w:val="18"/>
          <w:lang w:val="hu-HU"/>
        </w:rPr>
      </w:pPr>
      <w:r w:rsidRPr="00391A49">
        <w:rPr>
          <w:rFonts w:ascii="Arial" w:hAnsi="Arial" w:cs="Arial"/>
          <w:sz w:val="18"/>
          <w:szCs w:val="18"/>
          <w:lang w:val="hu-HU"/>
        </w:rPr>
        <w:t>2011-ben 7</w:t>
      </w:r>
      <w:r w:rsidR="008C0784" w:rsidRPr="00391A49">
        <w:rPr>
          <w:rFonts w:ascii="Arial" w:hAnsi="Arial" w:cs="Arial"/>
          <w:sz w:val="18"/>
          <w:szCs w:val="18"/>
          <w:lang w:val="hu-HU"/>
        </w:rPr>
        <w:t xml:space="preserve">.215 </w:t>
      </w:r>
      <w:r w:rsidRPr="00391A49">
        <w:rPr>
          <w:rFonts w:ascii="Arial" w:hAnsi="Arial" w:cs="Arial"/>
          <w:sz w:val="18"/>
          <w:szCs w:val="18"/>
          <w:lang w:val="hu-HU"/>
        </w:rPr>
        <w:t>biogáz</w:t>
      </w:r>
      <w:r w:rsidR="00391A49">
        <w:rPr>
          <w:rFonts w:ascii="Arial" w:hAnsi="Arial" w:cs="Arial"/>
          <w:sz w:val="18"/>
          <w:szCs w:val="18"/>
          <w:lang w:val="hu-HU"/>
        </w:rPr>
        <w:t xml:space="preserve"> </w:t>
      </w:r>
      <w:r w:rsidRPr="00391A49">
        <w:rPr>
          <w:rFonts w:ascii="Arial" w:hAnsi="Arial" w:cs="Arial"/>
          <w:sz w:val="18"/>
          <w:szCs w:val="18"/>
          <w:lang w:val="hu-HU"/>
        </w:rPr>
        <w:t xml:space="preserve">telepet tartottak nyilván, amelyek energiatermelése </w:t>
      </w:r>
      <w:r w:rsidR="008C0784" w:rsidRPr="00391A49">
        <w:rPr>
          <w:rFonts w:ascii="Arial" w:hAnsi="Arial" w:cs="Arial"/>
          <w:sz w:val="18"/>
          <w:szCs w:val="18"/>
          <w:lang w:val="hu-HU"/>
        </w:rPr>
        <w:t>2,</w:t>
      </w:r>
      <w:r w:rsidRPr="00391A49">
        <w:rPr>
          <w:rFonts w:ascii="Arial" w:hAnsi="Arial" w:cs="Arial"/>
          <w:sz w:val="18"/>
          <w:szCs w:val="18"/>
          <w:lang w:val="hu-HU"/>
        </w:rPr>
        <w:t>904 MW. A magántulajdonban illetve szövetkezésekben működő telepek energianövényekből (</w:t>
      </w:r>
      <w:r w:rsidR="002B4974">
        <w:rPr>
          <w:rFonts w:ascii="Arial" w:hAnsi="Arial" w:cs="Arial"/>
          <w:sz w:val="18"/>
          <w:szCs w:val="18"/>
          <w:lang w:val="hu-HU"/>
        </w:rPr>
        <w:t>elsősorban szántóföldi növények</w:t>
      </w:r>
      <w:r w:rsidRPr="00391A49">
        <w:rPr>
          <w:rFonts w:ascii="Arial" w:hAnsi="Arial" w:cs="Arial"/>
          <w:sz w:val="18"/>
          <w:szCs w:val="18"/>
          <w:lang w:val="hu-HU"/>
        </w:rPr>
        <w:t>) és trágyából termelnek villamos energiát.</w:t>
      </w:r>
      <w:r w:rsidR="008C0784" w:rsidRPr="00391A49">
        <w:rPr>
          <w:rFonts w:ascii="Arial" w:hAnsi="Arial" w:cs="Arial"/>
          <w:sz w:val="18"/>
          <w:szCs w:val="18"/>
          <w:lang w:val="hu-HU"/>
        </w:rPr>
        <w:t xml:space="preserve"> </w:t>
      </w:r>
      <w:r w:rsidRPr="00391A49">
        <w:rPr>
          <w:rFonts w:ascii="Arial" w:hAnsi="Arial" w:cs="Arial"/>
          <w:sz w:val="18"/>
          <w:szCs w:val="18"/>
          <w:lang w:val="hu-HU"/>
        </w:rPr>
        <w:t>Közel 1</w:t>
      </w:r>
      <w:r w:rsidR="008C0784" w:rsidRPr="00391A49">
        <w:rPr>
          <w:rFonts w:ascii="Arial" w:hAnsi="Arial" w:cs="Arial"/>
          <w:sz w:val="18"/>
          <w:szCs w:val="18"/>
          <w:lang w:val="hu-HU"/>
        </w:rPr>
        <w:t>000</w:t>
      </w:r>
      <w:r w:rsidRPr="00391A49">
        <w:rPr>
          <w:rFonts w:ascii="Arial" w:hAnsi="Arial" w:cs="Arial"/>
          <w:sz w:val="18"/>
          <w:szCs w:val="18"/>
          <w:lang w:val="hu-HU"/>
        </w:rPr>
        <w:t xml:space="preserve"> azon telepek száma, amelyeket</w:t>
      </w:r>
      <w:r w:rsidR="00391A49">
        <w:rPr>
          <w:rFonts w:ascii="Arial" w:hAnsi="Arial" w:cs="Arial"/>
          <w:sz w:val="18"/>
          <w:szCs w:val="18"/>
          <w:lang w:val="hu-HU"/>
        </w:rPr>
        <w:t xml:space="preserve"> közösségek mű</w:t>
      </w:r>
      <w:r w:rsidRPr="00391A49">
        <w:rPr>
          <w:rFonts w:ascii="Arial" w:hAnsi="Arial" w:cs="Arial"/>
          <w:sz w:val="18"/>
          <w:szCs w:val="18"/>
          <w:lang w:val="hu-HU"/>
        </w:rPr>
        <w:t>ködtetnek, ebben az esetben a bemenő anyag elsősorban szen</w:t>
      </w:r>
      <w:r w:rsidR="00391A49">
        <w:rPr>
          <w:rFonts w:ascii="Arial" w:hAnsi="Arial" w:cs="Arial"/>
          <w:sz w:val="18"/>
          <w:szCs w:val="18"/>
          <w:lang w:val="hu-HU"/>
        </w:rPr>
        <w:t>n</w:t>
      </w:r>
      <w:r w:rsidRPr="00391A49">
        <w:rPr>
          <w:rFonts w:ascii="Arial" w:hAnsi="Arial" w:cs="Arial"/>
          <w:sz w:val="18"/>
          <w:szCs w:val="18"/>
          <w:lang w:val="hu-HU"/>
        </w:rPr>
        <w:t>yvíziszap és városi szilárd hulladék.</w:t>
      </w:r>
      <w:r w:rsidR="008C0784" w:rsidRPr="00391A49">
        <w:rPr>
          <w:rFonts w:ascii="Arial" w:hAnsi="Arial" w:cs="Arial"/>
          <w:sz w:val="18"/>
          <w:szCs w:val="18"/>
          <w:lang w:val="hu-HU"/>
        </w:rPr>
        <w:t xml:space="preserve"> 200</w:t>
      </w:r>
      <w:r w:rsidRPr="00391A49">
        <w:rPr>
          <w:rFonts w:ascii="Arial" w:hAnsi="Arial" w:cs="Arial"/>
          <w:sz w:val="18"/>
          <w:szCs w:val="18"/>
          <w:lang w:val="hu-HU"/>
        </w:rPr>
        <w:t xml:space="preserve"> olyan te</w:t>
      </w:r>
      <w:r w:rsidR="002B4974">
        <w:rPr>
          <w:rFonts w:ascii="Arial" w:hAnsi="Arial" w:cs="Arial"/>
          <w:sz w:val="18"/>
          <w:szCs w:val="18"/>
          <w:lang w:val="hu-HU"/>
        </w:rPr>
        <w:t>lep működik, amelyek szenny</w:t>
      </w:r>
      <w:r w:rsidRPr="00391A49">
        <w:rPr>
          <w:rFonts w:ascii="Arial" w:hAnsi="Arial" w:cs="Arial"/>
          <w:sz w:val="18"/>
          <w:szCs w:val="18"/>
          <w:lang w:val="hu-HU"/>
        </w:rPr>
        <w:t>vizet használ.</w:t>
      </w:r>
    </w:p>
    <w:p w:rsidR="008C0784" w:rsidRPr="00207581" w:rsidRDefault="009456DF" w:rsidP="00391A49">
      <w:pPr>
        <w:pStyle w:val="INnormal"/>
        <w:jc w:val="both"/>
        <w:rPr>
          <w:rFonts w:ascii="Arial" w:hAnsi="Arial" w:cs="Arial"/>
          <w:sz w:val="18"/>
          <w:szCs w:val="18"/>
          <w:lang w:val="hu-HU"/>
        </w:rPr>
      </w:pPr>
      <w:r w:rsidRPr="00391A49">
        <w:rPr>
          <w:rFonts w:ascii="Arial" w:hAnsi="Arial" w:cs="Arial"/>
          <w:sz w:val="18"/>
          <w:szCs w:val="18"/>
          <w:lang w:val="hu-HU"/>
        </w:rPr>
        <w:t>A szerves hulladékokat elsősorban komposztálják, a teljes kapac</w:t>
      </w:r>
      <w:r w:rsidR="00391A49">
        <w:rPr>
          <w:rFonts w:ascii="Arial" w:hAnsi="Arial" w:cs="Arial"/>
          <w:sz w:val="18"/>
          <w:szCs w:val="18"/>
          <w:lang w:val="hu-HU"/>
        </w:rPr>
        <w:t>itás kb. 11 millió tonna feldol</w:t>
      </w:r>
      <w:r w:rsidRPr="00391A49">
        <w:rPr>
          <w:rFonts w:ascii="Arial" w:hAnsi="Arial" w:cs="Arial"/>
          <w:sz w:val="18"/>
          <w:szCs w:val="18"/>
          <w:lang w:val="hu-HU"/>
        </w:rPr>
        <w:t>g</w:t>
      </w:r>
      <w:r w:rsidR="00391A49">
        <w:rPr>
          <w:rFonts w:ascii="Arial" w:hAnsi="Arial" w:cs="Arial"/>
          <w:sz w:val="18"/>
          <w:szCs w:val="18"/>
          <w:lang w:val="hu-HU"/>
        </w:rPr>
        <w:t>ozá</w:t>
      </w:r>
      <w:r w:rsidRPr="00391A49">
        <w:rPr>
          <w:rFonts w:ascii="Arial" w:hAnsi="Arial" w:cs="Arial"/>
          <w:sz w:val="18"/>
          <w:szCs w:val="18"/>
          <w:lang w:val="hu-HU"/>
        </w:rPr>
        <w:t>sára alkalmas.</w:t>
      </w:r>
      <w:r w:rsidR="00391A49">
        <w:rPr>
          <w:rFonts w:ascii="Arial" w:hAnsi="Arial" w:cs="Arial"/>
          <w:sz w:val="18"/>
          <w:szCs w:val="18"/>
          <w:lang w:val="hu-HU"/>
        </w:rPr>
        <w:t xml:space="preserve"> A hagyományos </w:t>
      </w:r>
      <w:r w:rsidRPr="00391A49">
        <w:rPr>
          <w:rFonts w:ascii="Arial" w:hAnsi="Arial" w:cs="Arial"/>
          <w:sz w:val="18"/>
          <w:szCs w:val="18"/>
          <w:lang w:val="hu-HU"/>
        </w:rPr>
        <w:t xml:space="preserve">hő és villamos energiát előállító </w:t>
      </w:r>
      <w:r w:rsidR="00391A49">
        <w:rPr>
          <w:rFonts w:ascii="Arial" w:hAnsi="Arial" w:cs="Arial"/>
          <w:sz w:val="18"/>
          <w:szCs w:val="18"/>
          <w:lang w:val="hu-HU"/>
        </w:rPr>
        <w:t xml:space="preserve">telepek mellett a </w:t>
      </w:r>
      <w:proofErr w:type="spellStart"/>
      <w:r w:rsidR="00391A49">
        <w:rPr>
          <w:rFonts w:ascii="Arial" w:hAnsi="Arial" w:cs="Arial"/>
          <w:sz w:val="18"/>
          <w:szCs w:val="18"/>
          <w:lang w:val="hu-HU"/>
        </w:rPr>
        <w:t>biometán</w:t>
      </w:r>
      <w:proofErr w:type="spellEnd"/>
      <w:r w:rsidR="00391A49">
        <w:rPr>
          <w:rFonts w:ascii="Arial" w:hAnsi="Arial" w:cs="Arial"/>
          <w:sz w:val="18"/>
          <w:szCs w:val="18"/>
          <w:lang w:val="hu-HU"/>
        </w:rPr>
        <w:t xml:space="preserve"> hálóz</w:t>
      </w:r>
      <w:r w:rsidR="00207581">
        <w:rPr>
          <w:rFonts w:ascii="Arial" w:hAnsi="Arial" w:cs="Arial"/>
          <w:sz w:val="18"/>
          <w:szCs w:val="18"/>
          <w:lang w:val="hu-HU"/>
        </w:rPr>
        <w:t>atba juttatása is támogatott.</w:t>
      </w:r>
      <w:r w:rsidRPr="00391A49">
        <w:rPr>
          <w:rFonts w:ascii="Arial" w:hAnsi="Arial" w:cs="Arial"/>
          <w:sz w:val="18"/>
          <w:szCs w:val="18"/>
          <w:lang w:val="hu-HU"/>
        </w:rPr>
        <w:t xml:space="preserve"> </w:t>
      </w:r>
      <w:r w:rsidRPr="00207581">
        <w:rPr>
          <w:rFonts w:ascii="Arial" w:hAnsi="Arial" w:cs="Arial"/>
          <w:sz w:val="18"/>
          <w:szCs w:val="18"/>
          <w:lang w:val="hu-HU"/>
        </w:rPr>
        <w:t>K</w:t>
      </w:r>
      <w:r w:rsidR="00207581" w:rsidRPr="00207581">
        <w:rPr>
          <w:rFonts w:ascii="Arial" w:hAnsi="Arial" w:cs="Arial"/>
          <w:sz w:val="18"/>
          <w:szCs w:val="18"/>
          <w:lang w:val="hu-HU"/>
        </w:rPr>
        <w:t>örülbelül</w:t>
      </w:r>
      <w:r w:rsidRPr="00207581">
        <w:rPr>
          <w:rFonts w:ascii="Arial" w:hAnsi="Arial" w:cs="Arial"/>
          <w:sz w:val="18"/>
          <w:szCs w:val="18"/>
          <w:lang w:val="hu-HU"/>
        </w:rPr>
        <w:t xml:space="preserve"> 80 </w:t>
      </w:r>
      <w:r w:rsidR="00391A49" w:rsidRPr="00207581">
        <w:rPr>
          <w:rFonts w:ascii="Arial" w:hAnsi="Arial" w:cs="Arial"/>
          <w:sz w:val="18"/>
          <w:szCs w:val="18"/>
          <w:lang w:val="hu-HU"/>
        </w:rPr>
        <w:t>ilyen telep létezik. 460 millió</w:t>
      </w:r>
      <w:r w:rsidRPr="00207581">
        <w:rPr>
          <w:rFonts w:ascii="Arial" w:hAnsi="Arial" w:cs="Arial"/>
          <w:sz w:val="18"/>
          <w:szCs w:val="18"/>
          <w:lang w:val="hu-HU"/>
        </w:rPr>
        <w:t xml:space="preserve"> </w:t>
      </w:r>
      <w:r w:rsidR="008C0784" w:rsidRPr="00207581">
        <w:rPr>
          <w:rFonts w:ascii="Arial" w:hAnsi="Arial" w:cs="Arial"/>
          <w:sz w:val="18"/>
          <w:szCs w:val="18"/>
          <w:lang w:val="hu-HU"/>
        </w:rPr>
        <w:t>m³</w:t>
      </w:r>
      <w:r w:rsidRPr="00207581">
        <w:rPr>
          <w:rFonts w:ascii="Arial" w:hAnsi="Arial" w:cs="Arial"/>
          <w:sz w:val="18"/>
          <w:szCs w:val="18"/>
          <w:lang w:val="hu-HU"/>
        </w:rPr>
        <w:t xml:space="preserve"> kapacitással. </w:t>
      </w:r>
      <w:r w:rsidR="00207581" w:rsidRPr="00207581">
        <w:rPr>
          <w:rFonts w:ascii="Arial" w:hAnsi="Arial" w:cs="Arial"/>
          <w:sz w:val="18"/>
          <w:szCs w:val="18"/>
          <w:lang w:val="hu-HU"/>
        </w:rPr>
        <w:t xml:space="preserve">A biogáz a hazai energiafogyasztásnak kb. 1%-át fedezi. Input anyagként leginkább kukoricát használnak, amelyet 2010-ben </w:t>
      </w:r>
      <w:r w:rsidR="00207581" w:rsidRPr="00207581">
        <w:rPr>
          <w:rFonts w:ascii="Arial" w:hAnsi="Arial" w:cs="Arial"/>
          <w:noProof/>
          <w:sz w:val="18"/>
          <w:szCs w:val="18"/>
        </w:rPr>
        <w:t>800.000 ha-on termesztettek. A támogatások miatt megérte még Dániából (100 km távolságról) is importálni a kukoricát (kb. 10.000 ha). A szénre és gázra alapozott német energiatermelésben a kilowattóra ára 5,5 cent, a biogáz ára pedig 19.6 cent.</w:t>
      </w:r>
    </w:p>
    <w:p w:rsidR="009456DF" w:rsidRPr="00391A49" w:rsidRDefault="009456DF" w:rsidP="00391A49">
      <w:pPr>
        <w:pStyle w:val="INnormal"/>
        <w:jc w:val="both"/>
        <w:rPr>
          <w:rFonts w:ascii="Arial" w:hAnsi="Arial" w:cs="Arial"/>
          <w:sz w:val="18"/>
          <w:szCs w:val="18"/>
          <w:lang w:val="hu-HU"/>
        </w:rPr>
      </w:pPr>
      <w:r w:rsidRPr="00391A49">
        <w:rPr>
          <w:rFonts w:ascii="Arial" w:hAnsi="Arial" w:cs="Arial"/>
          <w:sz w:val="18"/>
          <w:szCs w:val="18"/>
          <w:lang w:val="hu-HU"/>
        </w:rPr>
        <w:t xml:space="preserve">A működő telepek </w:t>
      </w:r>
      <w:r w:rsidR="008C0784" w:rsidRPr="00391A49">
        <w:rPr>
          <w:rFonts w:ascii="Arial" w:hAnsi="Arial" w:cs="Arial"/>
          <w:sz w:val="18"/>
          <w:szCs w:val="18"/>
          <w:lang w:val="hu-HU"/>
        </w:rPr>
        <w:t>92 %</w:t>
      </w:r>
      <w:r w:rsidRPr="00391A49">
        <w:rPr>
          <w:rFonts w:ascii="Arial" w:hAnsi="Arial" w:cs="Arial"/>
          <w:sz w:val="18"/>
          <w:szCs w:val="18"/>
          <w:lang w:val="hu-HU"/>
        </w:rPr>
        <w:t xml:space="preserve"> nedves fermentációval és 8 %-a száraz fermentációval működik. </w:t>
      </w:r>
    </w:p>
    <w:p w:rsidR="008C0784" w:rsidRPr="00391A49" w:rsidRDefault="009456DF" w:rsidP="00391A49">
      <w:pPr>
        <w:pStyle w:val="INnormal"/>
        <w:jc w:val="both"/>
        <w:rPr>
          <w:rFonts w:ascii="Arial" w:hAnsi="Arial" w:cs="Arial"/>
          <w:sz w:val="18"/>
          <w:szCs w:val="18"/>
          <w:lang w:val="hu-HU"/>
        </w:rPr>
      </w:pPr>
      <w:r w:rsidRPr="00391A49">
        <w:rPr>
          <w:rFonts w:ascii="Arial" w:hAnsi="Arial" w:cs="Arial"/>
          <w:sz w:val="18"/>
          <w:szCs w:val="18"/>
          <w:lang w:val="hu-HU"/>
        </w:rPr>
        <w:t>A következő táblázat a telepek jelenlegi állapotát és a tervezett fejlesztéseket mutatja be (FACHVERBAND BIOGAS E</w:t>
      </w:r>
      <w:proofErr w:type="gramStart"/>
      <w:r w:rsidRPr="00391A49">
        <w:rPr>
          <w:rFonts w:ascii="Arial" w:hAnsi="Arial" w:cs="Arial"/>
          <w:sz w:val="18"/>
          <w:szCs w:val="18"/>
          <w:lang w:val="hu-HU"/>
        </w:rPr>
        <w:t>.V.</w:t>
      </w:r>
      <w:proofErr w:type="gramEnd"/>
      <w:r w:rsidRPr="00391A49">
        <w:rPr>
          <w:rFonts w:ascii="Arial" w:hAnsi="Arial" w:cs="Arial"/>
          <w:sz w:val="18"/>
          <w:szCs w:val="18"/>
          <w:lang w:val="hu-HU"/>
        </w:rPr>
        <w:t>, 2012):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042"/>
        <w:gridCol w:w="1102"/>
        <w:gridCol w:w="1102"/>
        <w:gridCol w:w="1521"/>
        <w:gridCol w:w="1521"/>
      </w:tblGrid>
      <w:tr w:rsidR="008C0784" w:rsidRPr="00391A49" w:rsidTr="00444CE0">
        <w:tc>
          <w:tcPr>
            <w:tcW w:w="2176" w:type="pct"/>
          </w:tcPr>
          <w:p w:rsidR="008C0784" w:rsidRPr="00391A49" w:rsidRDefault="008C0784" w:rsidP="00391A49">
            <w:pPr>
              <w:pStyle w:val="INcaption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593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2010</w:t>
            </w:r>
          </w:p>
        </w:tc>
        <w:tc>
          <w:tcPr>
            <w:tcW w:w="593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2011</w:t>
            </w:r>
          </w:p>
        </w:tc>
        <w:tc>
          <w:tcPr>
            <w:tcW w:w="819" w:type="pct"/>
            <w:vAlign w:val="center"/>
          </w:tcPr>
          <w:p w:rsidR="008C0784" w:rsidRPr="00391A49" w:rsidRDefault="00604826" w:rsidP="00391A49">
            <w:pPr>
              <w:pStyle w:val="INnormal"/>
              <w:jc w:val="both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Előrejelzés</w:t>
            </w:r>
            <w:r w:rsidR="008C0784"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2012</w:t>
            </w:r>
          </w:p>
        </w:tc>
        <w:tc>
          <w:tcPr>
            <w:tcW w:w="819" w:type="pct"/>
            <w:vAlign w:val="center"/>
          </w:tcPr>
          <w:p w:rsidR="008C0784" w:rsidRPr="00391A49" w:rsidRDefault="00604826" w:rsidP="00391A49">
            <w:pPr>
              <w:pStyle w:val="INnormal"/>
              <w:jc w:val="both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Előrejelzés </w:t>
            </w:r>
            <w:r w:rsidR="008C0784"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2013</w:t>
            </w:r>
          </w:p>
        </w:tc>
      </w:tr>
      <w:tr w:rsidR="008C0784" w:rsidRPr="00391A49" w:rsidTr="00444CE0">
        <w:tc>
          <w:tcPr>
            <w:tcW w:w="2176" w:type="pct"/>
            <w:vAlign w:val="center"/>
          </w:tcPr>
          <w:p w:rsidR="008C0784" w:rsidRPr="00391A49" w:rsidRDefault="00391A49" w:rsidP="00391A49">
            <w:pPr>
              <w:pStyle w:val="INnormal"/>
              <w:jc w:val="both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Biogáz</w:t>
            </w:r>
            <w:r w:rsidR="00A52B2D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hu-HU"/>
              </w:rPr>
              <w:t>telepek száma (ebből</w:t>
            </w:r>
            <w:r w:rsidR="009456DF"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</w:t>
            </w:r>
            <w:proofErr w:type="spellStart"/>
            <w:r w:rsidR="009456DF"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bio</w:t>
            </w:r>
            <w:r w:rsidR="00A52B2D">
              <w:rPr>
                <w:rFonts w:ascii="Arial" w:hAnsi="Arial" w:cs="Arial"/>
                <w:b/>
                <w:sz w:val="18"/>
                <w:szCs w:val="18"/>
                <w:lang w:val="hu-HU"/>
              </w:rPr>
              <w:t>-</w:t>
            </w:r>
            <w:r w:rsidR="009456DF"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metánt</w:t>
            </w:r>
            <w:proofErr w:type="spellEnd"/>
            <w:r w:rsidR="009456DF"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táplál be hálózatba)</w:t>
            </w:r>
          </w:p>
        </w:tc>
        <w:tc>
          <w:tcPr>
            <w:tcW w:w="593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5,905</w:t>
            </w:r>
          </w:p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(45)</w:t>
            </w:r>
          </w:p>
        </w:tc>
        <w:tc>
          <w:tcPr>
            <w:tcW w:w="593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7,215</w:t>
            </w:r>
          </w:p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(80)</w:t>
            </w:r>
          </w:p>
        </w:tc>
        <w:tc>
          <w:tcPr>
            <w:tcW w:w="819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7,521</w:t>
            </w:r>
          </w:p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(100)</w:t>
            </w:r>
          </w:p>
        </w:tc>
        <w:tc>
          <w:tcPr>
            <w:tcW w:w="819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7,895</w:t>
            </w:r>
          </w:p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(120)</w:t>
            </w:r>
          </w:p>
        </w:tc>
      </w:tr>
      <w:tr w:rsidR="008C0784" w:rsidRPr="00391A49" w:rsidTr="00444CE0">
        <w:tc>
          <w:tcPr>
            <w:tcW w:w="2176" w:type="pct"/>
            <w:vAlign w:val="center"/>
          </w:tcPr>
          <w:p w:rsidR="008C0784" w:rsidRPr="00391A49" w:rsidRDefault="009456DF" w:rsidP="00391A49">
            <w:pPr>
              <w:pStyle w:val="INnormal"/>
              <w:jc w:val="both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Elektromos áramtermelő kapacitása (</w:t>
            </w:r>
            <w:r w:rsidR="008C0784"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MW</w:t>
            </w:r>
            <w:r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)</w:t>
            </w:r>
          </w:p>
        </w:tc>
        <w:tc>
          <w:tcPr>
            <w:tcW w:w="593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2,291</w:t>
            </w:r>
          </w:p>
        </w:tc>
        <w:tc>
          <w:tcPr>
            <w:tcW w:w="593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2,904</w:t>
            </w:r>
          </w:p>
        </w:tc>
        <w:tc>
          <w:tcPr>
            <w:tcW w:w="819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3,185</w:t>
            </w:r>
          </w:p>
        </w:tc>
        <w:tc>
          <w:tcPr>
            <w:tcW w:w="819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3,312</w:t>
            </w:r>
          </w:p>
        </w:tc>
      </w:tr>
      <w:tr w:rsidR="008C0784" w:rsidRPr="00391A49" w:rsidTr="00444CE0">
        <w:tc>
          <w:tcPr>
            <w:tcW w:w="2176" w:type="pct"/>
            <w:vAlign w:val="center"/>
          </w:tcPr>
          <w:p w:rsidR="008C0784" w:rsidRPr="00391A49" w:rsidRDefault="009456DF" w:rsidP="00391A49">
            <w:pPr>
              <w:pStyle w:val="INnormal"/>
              <w:jc w:val="both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Nettó elektromos áram termelés</w:t>
            </w:r>
            <w:r w:rsid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 xml:space="preserve"> (</w:t>
            </w:r>
            <w:proofErr w:type="spellStart"/>
            <w:r w:rsid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MWh</w:t>
            </w:r>
            <w:proofErr w:type="spellEnd"/>
            <w:r w:rsid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/a)</w:t>
            </w:r>
          </w:p>
        </w:tc>
        <w:tc>
          <w:tcPr>
            <w:tcW w:w="593" w:type="pct"/>
            <w:vAlign w:val="center"/>
          </w:tcPr>
          <w:p w:rsidR="008C0784" w:rsidRPr="00391A49" w:rsidRDefault="00604826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15.0 millió</w:t>
            </w:r>
            <w:r w:rsidR="008C0784" w:rsidRPr="00391A49">
              <w:rPr>
                <w:rFonts w:ascii="Arial" w:hAnsi="Arial" w:cs="Arial"/>
                <w:sz w:val="18"/>
                <w:szCs w:val="18"/>
                <w:lang w:val="hu-HU"/>
              </w:rPr>
              <w:t>.</w:t>
            </w:r>
          </w:p>
        </w:tc>
        <w:tc>
          <w:tcPr>
            <w:tcW w:w="593" w:type="pct"/>
            <w:vAlign w:val="center"/>
          </w:tcPr>
          <w:p w:rsidR="008C0784" w:rsidRPr="00391A49" w:rsidRDefault="00604826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18.4 millió</w:t>
            </w:r>
          </w:p>
        </w:tc>
        <w:tc>
          <w:tcPr>
            <w:tcW w:w="819" w:type="pct"/>
            <w:vAlign w:val="center"/>
          </w:tcPr>
          <w:p w:rsidR="008C0784" w:rsidRPr="00391A49" w:rsidRDefault="00604826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21.57 millió</w:t>
            </w:r>
          </w:p>
        </w:tc>
        <w:tc>
          <w:tcPr>
            <w:tcW w:w="819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 xml:space="preserve">22.43 </w:t>
            </w:r>
            <w:r w:rsidR="00604826" w:rsidRPr="00391A49">
              <w:rPr>
                <w:rFonts w:ascii="Arial" w:hAnsi="Arial" w:cs="Arial"/>
                <w:sz w:val="18"/>
                <w:szCs w:val="18"/>
                <w:lang w:val="hu-HU"/>
              </w:rPr>
              <w:t>millió</w:t>
            </w:r>
          </w:p>
        </w:tc>
      </w:tr>
      <w:tr w:rsidR="008C0784" w:rsidRPr="00391A49" w:rsidTr="00444CE0">
        <w:tc>
          <w:tcPr>
            <w:tcW w:w="2176" w:type="pct"/>
            <w:vAlign w:val="center"/>
          </w:tcPr>
          <w:p w:rsidR="008C0784" w:rsidRPr="00391A49" w:rsidRDefault="00604826" w:rsidP="00391A49">
            <w:pPr>
              <w:pStyle w:val="INnormal"/>
              <w:jc w:val="both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b/>
                <w:sz w:val="18"/>
                <w:szCs w:val="18"/>
                <w:lang w:val="hu-HU"/>
              </w:rPr>
              <w:t>Az elhasznált elektromos energia (%)</w:t>
            </w:r>
          </w:p>
        </w:tc>
        <w:tc>
          <w:tcPr>
            <w:tcW w:w="593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2.5</w:t>
            </w:r>
          </w:p>
        </w:tc>
        <w:tc>
          <w:tcPr>
            <w:tcW w:w="593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  <w:r w:rsidRPr="00391A49">
              <w:rPr>
                <w:rFonts w:ascii="Arial" w:hAnsi="Arial" w:cs="Arial"/>
                <w:sz w:val="18"/>
                <w:szCs w:val="18"/>
                <w:lang w:val="hu-HU"/>
              </w:rPr>
              <w:t>3.03</w:t>
            </w:r>
          </w:p>
        </w:tc>
        <w:tc>
          <w:tcPr>
            <w:tcW w:w="819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  <w:tc>
          <w:tcPr>
            <w:tcW w:w="819" w:type="pct"/>
            <w:vAlign w:val="center"/>
          </w:tcPr>
          <w:p w:rsidR="008C0784" w:rsidRPr="00391A49" w:rsidRDefault="008C0784" w:rsidP="00391A49">
            <w:pPr>
              <w:pStyle w:val="INnormal"/>
              <w:jc w:val="both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</w:tbl>
    <w:p w:rsidR="008C0784" w:rsidRPr="00391A49" w:rsidRDefault="008C0784" w:rsidP="00391A49">
      <w:pPr>
        <w:pStyle w:val="INnormal"/>
        <w:jc w:val="both"/>
        <w:rPr>
          <w:rFonts w:ascii="Arial" w:hAnsi="Arial" w:cs="Arial"/>
          <w:sz w:val="18"/>
          <w:szCs w:val="18"/>
          <w:lang w:val="hu-HU"/>
        </w:rPr>
      </w:pPr>
    </w:p>
    <w:p w:rsidR="008C0784" w:rsidRPr="00391A49" w:rsidRDefault="00A670C4" w:rsidP="00391A49">
      <w:pPr>
        <w:pStyle w:val="INnormal"/>
        <w:jc w:val="both"/>
        <w:rPr>
          <w:rFonts w:ascii="Arial" w:hAnsi="Arial" w:cs="Arial"/>
          <w:sz w:val="18"/>
          <w:szCs w:val="18"/>
          <w:lang w:val="hu-HU"/>
        </w:rPr>
      </w:pPr>
      <w:r w:rsidRPr="00391A49">
        <w:rPr>
          <w:rFonts w:ascii="Arial" w:hAnsi="Arial" w:cs="Arial"/>
          <w:sz w:val="18"/>
          <w:szCs w:val="18"/>
          <w:lang w:val="hu-HU"/>
        </w:rPr>
        <w:t>A biogáz</w:t>
      </w:r>
      <w:r w:rsidR="00A52B2D">
        <w:rPr>
          <w:rFonts w:ascii="Arial" w:hAnsi="Arial" w:cs="Arial"/>
          <w:sz w:val="18"/>
          <w:szCs w:val="18"/>
          <w:lang w:val="hu-HU"/>
        </w:rPr>
        <w:t xml:space="preserve"> </w:t>
      </w:r>
      <w:r w:rsidRPr="00391A49">
        <w:rPr>
          <w:rFonts w:ascii="Arial" w:hAnsi="Arial" w:cs="Arial"/>
          <w:sz w:val="18"/>
          <w:szCs w:val="18"/>
          <w:lang w:val="hu-HU"/>
        </w:rPr>
        <w:t>telepek elsősorban a sűrű</w:t>
      </w:r>
      <w:r w:rsidR="00391A49">
        <w:rPr>
          <w:rFonts w:ascii="Arial" w:hAnsi="Arial" w:cs="Arial"/>
          <w:sz w:val="18"/>
          <w:szCs w:val="18"/>
          <w:lang w:val="hu-HU"/>
        </w:rPr>
        <w:t xml:space="preserve"> állat</w:t>
      </w:r>
      <w:r w:rsidRPr="00391A49">
        <w:rPr>
          <w:rFonts w:ascii="Arial" w:hAnsi="Arial" w:cs="Arial"/>
          <w:sz w:val="18"/>
          <w:szCs w:val="18"/>
          <w:lang w:val="hu-HU"/>
        </w:rPr>
        <w:t>állománnyal rendelkező régiókban üzemel</w:t>
      </w:r>
      <w:r w:rsidR="00391A49">
        <w:rPr>
          <w:rFonts w:ascii="Arial" w:hAnsi="Arial" w:cs="Arial"/>
          <w:sz w:val="18"/>
          <w:szCs w:val="18"/>
          <w:lang w:val="hu-HU"/>
        </w:rPr>
        <w:t>nek</w:t>
      </w:r>
      <w:r w:rsidRPr="00391A49">
        <w:rPr>
          <w:rFonts w:ascii="Arial" w:hAnsi="Arial" w:cs="Arial"/>
          <w:sz w:val="18"/>
          <w:szCs w:val="18"/>
          <w:lang w:val="hu-HU"/>
        </w:rPr>
        <w:t>.</w:t>
      </w:r>
    </w:p>
    <w:p w:rsidR="008C0784" w:rsidRPr="00391A49" w:rsidRDefault="00A670C4" w:rsidP="00391A49">
      <w:pPr>
        <w:jc w:val="both"/>
        <w:rPr>
          <w:rFonts w:ascii="Arial" w:hAnsi="Arial" w:cs="Arial"/>
          <w:sz w:val="18"/>
          <w:szCs w:val="18"/>
        </w:rPr>
      </w:pPr>
      <w:r w:rsidRPr="00391A49">
        <w:rPr>
          <w:rFonts w:ascii="Arial" w:hAnsi="Arial" w:cs="Arial"/>
          <w:sz w:val="18"/>
          <w:szCs w:val="18"/>
        </w:rPr>
        <w:t>A biogáz</w:t>
      </w:r>
      <w:r w:rsidR="00A52B2D">
        <w:rPr>
          <w:rFonts w:ascii="Arial" w:hAnsi="Arial" w:cs="Arial"/>
          <w:sz w:val="18"/>
          <w:szCs w:val="18"/>
        </w:rPr>
        <w:t xml:space="preserve"> </w:t>
      </w:r>
      <w:r w:rsidRPr="00391A49">
        <w:rPr>
          <w:rFonts w:ascii="Arial" w:hAnsi="Arial" w:cs="Arial"/>
          <w:sz w:val="18"/>
          <w:szCs w:val="18"/>
        </w:rPr>
        <w:t>telepek elektromos áramot és hőt termelnek. Az elektromos áramot a hálózatba táplálják</w:t>
      </w:r>
      <w:r w:rsidR="00391A49">
        <w:rPr>
          <w:rFonts w:ascii="Arial" w:hAnsi="Arial" w:cs="Arial"/>
          <w:sz w:val="18"/>
          <w:szCs w:val="18"/>
        </w:rPr>
        <w:t>, a</w:t>
      </w:r>
      <w:r w:rsidRPr="00391A49">
        <w:rPr>
          <w:rFonts w:ascii="Arial" w:hAnsi="Arial" w:cs="Arial"/>
          <w:sz w:val="18"/>
          <w:szCs w:val="18"/>
        </w:rPr>
        <w:t xml:space="preserve">z ellenértékét a </w:t>
      </w:r>
      <w:proofErr w:type="spellStart"/>
      <w:r w:rsidR="008C0784" w:rsidRPr="00391A49">
        <w:rPr>
          <w:rFonts w:ascii="Arial" w:hAnsi="Arial" w:cs="Arial"/>
          <w:sz w:val="18"/>
          <w:szCs w:val="18"/>
        </w:rPr>
        <w:t>Re</w:t>
      </w:r>
      <w:r w:rsidRPr="00391A49">
        <w:rPr>
          <w:rFonts w:ascii="Arial" w:hAnsi="Arial" w:cs="Arial"/>
          <w:sz w:val="18"/>
          <w:szCs w:val="18"/>
        </w:rPr>
        <w:t>newable</w:t>
      </w:r>
      <w:proofErr w:type="spellEnd"/>
      <w:r w:rsidRPr="00391A4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1A49">
        <w:rPr>
          <w:rFonts w:ascii="Arial" w:hAnsi="Arial" w:cs="Arial"/>
          <w:sz w:val="18"/>
          <w:szCs w:val="18"/>
        </w:rPr>
        <w:t>Energy</w:t>
      </w:r>
      <w:proofErr w:type="spellEnd"/>
      <w:r w:rsidRPr="00391A4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1A49">
        <w:rPr>
          <w:rFonts w:ascii="Arial" w:hAnsi="Arial" w:cs="Arial"/>
          <w:sz w:val="18"/>
          <w:szCs w:val="18"/>
        </w:rPr>
        <w:t>Source</w:t>
      </w:r>
      <w:proofErr w:type="spellEnd"/>
      <w:r w:rsidRPr="00391A4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91A49">
        <w:rPr>
          <w:rFonts w:ascii="Arial" w:hAnsi="Arial" w:cs="Arial"/>
          <w:sz w:val="18"/>
          <w:szCs w:val="18"/>
        </w:rPr>
        <w:t>Act</w:t>
      </w:r>
      <w:proofErr w:type="spellEnd"/>
      <w:r w:rsidRPr="00391A49">
        <w:rPr>
          <w:rFonts w:ascii="Arial" w:hAnsi="Arial" w:cs="Arial"/>
          <w:sz w:val="18"/>
          <w:szCs w:val="18"/>
        </w:rPr>
        <w:t xml:space="preserve"> "EEG" (</w:t>
      </w:r>
      <w:r w:rsidR="00A52B2D">
        <w:rPr>
          <w:rFonts w:ascii="Arial" w:hAnsi="Arial" w:cs="Arial"/>
          <w:sz w:val="18"/>
          <w:szCs w:val="18"/>
        </w:rPr>
        <w:t>megúj</w:t>
      </w:r>
      <w:r w:rsidRPr="00391A49">
        <w:rPr>
          <w:rFonts w:ascii="Arial" w:hAnsi="Arial" w:cs="Arial"/>
          <w:sz w:val="18"/>
          <w:szCs w:val="18"/>
        </w:rPr>
        <w:t>uló energiaforrások rendelet) szerint számolják el.</w:t>
      </w:r>
      <w:r w:rsidR="008C0784" w:rsidRPr="00391A49">
        <w:rPr>
          <w:rFonts w:ascii="Arial" w:hAnsi="Arial" w:cs="Arial"/>
          <w:sz w:val="18"/>
          <w:szCs w:val="18"/>
        </w:rPr>
        <w:t xml:space="preserve"> </w:t>
      </w:r>
      <w:r w:rsidRPr="00391A49">
        <w:rPr>
          <w:rFonts w:ascii="Arial" w:hAnsi="Arial" w:cs="Arial"/>
          <w:sz w:val="18"/>
          <w:szCs w:val="18"/>
        </w:rPr>
        <w:t>A hő egy</w:t>
      </w:r>
      <w:r w:rsidR="00391A49">
        <w:rPr>
          <w:rFonts w:ascii="Arial" w:hAnsi="Arial" w:cs="Arial"/>
          <w:sz w:val="18"/>
          <w:szCs w:val="18"/>
        </w:rPr>
        <w:t xml:space="preserve"> </w:t>
      </w:r>
      <w:r w:rsidRPr="00391A49">
        <w:rPr>
          <w:rFonts w:ascii="Arial" w:hAnsi="Arial" w:cs="Arial"/>
          <w:sz w:val="18"/>
          <w:szCs w:val="18"/>
        </w:rPr>
        <w:t>részét a rendszer működtetésére használják.</w:t>
      </w:r>
      <w:r w:rsidR="008C0784" w:rsidRPr="00391A49">
        <w:rPr>
          <w:rFonts w:ascii="Arial" w:hAnsi="Arial" w:cs="Arial"/>
          <w:sz w:val="18"/>
          <w:szCs w:val="18"/>
        </w:rPr>
        <w:t xml:space="preserve"> </w:t>
      </w:r>
      <w:r w:rsidRPr="00391A49">
        <w:rPr>
          <w:rFonts w:ascii="Arial" w:hAnsi="Arial" w:cs="Arial"/>
          <w:sz w:val="18"/>
          <w:szCs w:val="18"/>
        </w:rPr>
        <w:t xml:space="preserve">A </w:t>
      </w:r>
      <w:r w:rsidR="008C0784" w:rsidRPr="00391A49">
        <w:rPr>
          <w:rFonts w:ascii="Arial" w:hAnsi="Arial" w:cs="Arial"/>
          <w:sz w:val="18"/>
          <w:szCs w:val="18"/>
        </w:rPr>
        <w:t>DBFZ</w:t>
      </w:r>
      <w:r w:rsidRPr="00391A49">
        <w:rPr>
          <w:rFonts w:ascii="Arial" w:hAnsi="Arial" w:cs="Arial"/>
          <w:sz w:val="18"/>
          <w:szCs w:val="18"/>
        </w:rPr>
        <w:t xml:space="preserve"> felmérése szerint a többlet</w:t>
      </w:r>
      <w:r w:rsidR="00391A49">
        <w:rPr>
          <w:rFonts w:ascii="Arial" w:hAnsi="Arial" w:cs="Arial"/>
          <w:sz w:val="18"/>
          <w:szCs w:val="18"/>
        </w:rPr>
        <w:t xml:space="preserve"> </w:t>
      </w:r>
      <w:r w:rsidRPr="00391A49">
        <w:rPr>
          <w:rFonts w:ascii="Arial" w:hAnsi="Arial" w:cs="Arial"/>
          <w:sz w:val="18"/>
          <w:szCs w:val="18"/>
        </w:rPr>
        <w:t>hő</w:t>
      </w:r>
      <w:r w:rsidR="008C0784" w:rsidRPr="00391A49">
        <w:rPr>
          <w:rFonts w:ascii="Arial" w:hAnsi="Arial" w:cs="Arial"/>
          <w:sz w:val="18"/>
          <w:szCs w:val="18"/>
        </w:rPr>
        <w:t xml:space="preserve"> 45 %</w:t>
      </w:r>
      <w:r w:rsidR="00391A49">
        <w:rPr>
          <w:rFonts w:ascii="Arial" w:hAnsi="Arial" w:cs="Arial"/>
          <w:sz w:val="18"/>
          <w:szCs w:val="18"/>
        </w:rPr>
        <w:t>-át távhőszolgál</w:t>
      </w:r>
      <w:r w:rsidRPr="00391A49">
        <w:rPr>
          <w:rFonts w:ascii="Arial" w:hAnsi="Arial" w:cs="Arial"/>
          <w:sz w:val="18"/>
          <w:szCs w:val="18"/>
        </w:rPr>
        <w:t>tatás</w:t>
      </w:r>
      <w:r w:rsidR="00391A49">
        <w:rPr>
          <w:rFonts w:ascii="Arial" w:hAnsi="Arial" w:cs="Arial"/>
          <w:sz w:val="18"/>
          <w:szCs w:val="18"/>
        </w:rPr>
        <w:t>ra, épületek fűtésére, üvegházak</w:t>
      </w:r>
      <w:r w:rsidRPr="00391A49">
        <w:rPr>
          <w:rFonts w:ascii="Arial" w:hAnsi="Arial" w:cs="Arial"/>
          <w:sz w:val="18"/>
          <w:szCs w:val="18"/>
        </w:rPr>
        <w:t>, istállók fűtésére és terményszárítók működtetésére használják.</w:t>
      </w:r>
      <w:r w:rsidR="00391A49">
        <w:rPr>
          <w:rFonts w:ascii="Arial" w:hAnsi="Arial" w:cs="Arial"/>
          <w:sz w:val="18"/>
          <w:szCs w:val="18"/>
        </w:rPr>
        <w:t>(DBFZ,2012)</w:t>
      </w:r>
    </w:p>
    <w:p w:rsidR="008C0784" w:rsidRPr="00391A49" w:rsidRDefault="00A52B2D" w:rsidP="00391A49">
      <w:pPr>
        <w:pStyle w:val="INnormal"/>
        <w:jc w:val="both"/>
        <w:rPr>
          <w:rFonts w:ascii="Arial" w:hAnsi="Arial" w:cs="Arial"/>
          <w:sz w:val="18"/>
          <w:szCs w:val="18"/>
          <w:highlight w:val="yellow"/>
          <w:lang w:val="hu-HU"/>
        </w:rPr>
      </w:pPr>
      <w:r>
        <w:rPr>
          <w:rFonts w:ascii="Arial" w:hAnsi="Arial" w:cs="Arial"/>
          <w:sz w:val="18"/>
          <w:szCs w:val="18"/>
          <w:lang w:val="hu-HU"/>
        </w:rPr>
        <w:t>Amint a megú</w:t>
      </w:r>
      <w:r w:rsidR="00E13256" w:rsidRPr="00391A49">
        <w:rPr>
          <w:rFonts w:ascii="Arial" w:hAnsi="Arial" w:cs="Arial"/>
          <w:sz w:val="18"/>
          <w:szCs w:val="18"/>
          <w:lang w:val="hu-HU"/>
        </w:rPr>
        <w:t>juló energiafor</w:t>
      </w:r>
      <w:r>
        <w:rPr>
          <w:rFonts w:ascii="Arial" w:hAnsi="Arial" w:cs="Arial"/>
          <w:sz w:val="18"/>
          <w:szCs w:val="18"/>
          <w:lang w:val="hu-HU"/>
        </w:rPr>
        <w:t>r</w:t>
      </w:r>
      <w:r w:rsidR="00E13256" w:rsidRPr="00391A49">
        <w:rPr>
          <w:rFonts w:ascii="Arial" w:hAnsi="Arial" w:cs="Arial"/>
          <w:sz w:val="18"/>
          <w:szCs w:val="18"/>
          <w:lang w:val="hu-HU"/>
        </w:rPr>
        <w:t xml:space="preserve">ások rendelete megfogalmazza a </w:t>
      </w:r>
      <w:r>
        <w:rPr>
          <w:rFonts w:ascii="Arial" w:hAnsi="Arial" w:cs="Arial"/>
          <w:sz w:val="18"/>
          <w:szCs w:val="18"/>
          <w:lang w:val="hu-HU"/>
        </w:rPr>
        <w:t xml:space="preserve">biogáz </w:t>
      </w:r>
      <w:r w:rsidR="00E13256" w:rsidRPr="00391A49">
        <w:rPr>
          <w:rFonts w:ascii="Arial" w:hAnsi="Arial" w:cs="Arial"/>
          <w:sz w:val="18"/>
          <w:szCs w:val="18"/>
          <w:lang w:val="hu-HU"/>
        </w:rPr>
        <w:t>telepek bemenő anyagként elsősorban termesztett energianövényeket használnak, közel 50</w:t>
      </w:r>
      <w:r w:rsidR="008C0784" w:rsidRPr="00391A49">
        <w:rPr>
          <w:rFonts w:ascii="Arial" w:hAnsi="Arial" w:cs="Arial"/>
          <w:sz w:val="18"/>
          <w:szCs w:val="18"/>
          <w:lang w:val="hu-HU"/>
        </w:rPr>
        <w:t>%</w:t>
      </w:r>
      <w:r w:rsidR="00E13256" w:rsidRPr="00391A49">
        <w:rPr>
          <w:rFonts w:ascii="Arial" w:hAnsi="Arial" w:cs="Arial"/>
          <w:sz w:val="18"/>
          <w:szCs w:val="18"/>
          <w:lang w:val="hu-HU"/>
        </w:rPr>
        <w:t>-ot</w:t>
      </w:r>
      <w:r w:rsidR="008C0784" w:rsidRPr="00391A49">
        <w:rPr>
          <w:rFonts w:ascii="Arial" w:hAnsi="Arial" w:cs="Arial"/>
          <w:sz w:val="18"/>
          <w:szCs w:val="18"/>
          <w:lang w:val="hu-HU"/>
        </w:rPr>
        <w:t>,</w:t>
      </w:r>
      <w:r>
        <w:rPr>
          <w:rFonts w:ascii="Arial" w:hAnsi="Arial" w:cs="Arial"/>
          <w:sz w:val="18"/>
          <w:szCs w:val="18"/>
          <w:lang w:val="hu-HU"/>
        </w:rPr>
        <w:t xml:space="preserve"> majd kb. </w:t>
      </w:r>
      <w:r w:rsidR="00E13256" w:rsidRPr="00391A49">
        <w:rPr>
          <w:rFonts w:ascii="Arial" w:hAnsi="Arial" w:cs="Arial"/>
          <w:sz w:val="18"/>
          <w:szCs w:val="18"/>
          <w:lang w:val="hu-HU"/>
        </w:rPr>
        <w:t>43</w:t>
      </w:r>
      <w:r w:rsidR="008C0784" w:rsidRPr="00391A49">
        <w:rPr>
          <w:rFonts w:ascii="Arial" w:hAnsi="Arial" w:cs="Arial"/>
          <w:sz w:val="18"/>
          <w:szCs w:val="18"/>
          <w:lang w:val="hu-HU"/>
        </w:rPr>
        <w:t>%</w:t>
      </w:r>
      <w:r w:rsidR="00E13256" w:rsidRPr="00391A49">
        <w:rPr>
          <w:rFonts w:ascii="Arial" w:hAnsi="Arial" w:cs="Arial"/>
          <w:sz w:val="18"/>
          <w:szCs w:val="18"/>
          <w:lang w:val="hu-HU"/>
        </w:rPr>
        <w:t xml:space="preserve"> trágyát.</w:t>
      </w:r>
      <w:r w:rsidR="004D62D6" w:rsidRPr="00391A49">
        <w:rPr>
          <w:rFonts w:ascii="Arial" w:hAnsi="Arial" w:cs="Arial"/>
          <w:sz w:val="18"/>
          <w:szCs w:val="18"/>
          <w:lang w:val="hu-HU"/>
        </w:rPr>
        <w:t xml:space="preserve"> a szerves hulladékok és a mezőgazdasági hulladékok aránya kevesebb</w:t>
      </w:r>
      <w:r>
        <w:rPr>
          <w:rFonts w:ascii="Arial" w:hAnsi="Arial" w:cs="Arial"/>
          <w:sz w:val="18"/>
          <w:szCs w:val="18"/>
          <w:lang w:val="hu-HU"/>
        </w:rPr>
        <w:t>,</w:t>
      </w:r>
      <w:r w:rsidR="004D62D6" w:rsidRPr="00391A49">
        <w:rPr>
          <w:rFonts w:ascii="Arial" w:hAnsi="Arial" w:cs="Arial"/>
          <w:sz w:val="18"/>
          <w:szCs w:val="18"/>
          <w:lang w:val="hu-HU"/>
        </w:rPr>
        <w:t xml:space="preserve"> mint 10</w:t>
      </w:r>
      <w:r w:rsidR="008C0784" w:rsidRPr="00391A49">
        <w:rPr>
          <w:rFonts w:ascii="Arial" w:hAnsi="Arial" w:cs="Arial"/>
          <w:sz w:val="18"/>
          <w:szCs w:val="18"/>
          <w:lang w:val="hu-HU"/>
        </w:rPr>
        <w:t xml:space="preserve">%. </w:t>
      </w:r>
    </w:p>
    <w:p w:rsidR="008C0784" w:rsidRPr="00391A49" w:rsidRDefault="00DC183F" w:rsidP="00391A49">
      <w:pPr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391A49">
        <w:rPr>
          <w:rFonts w:ascii="Arial" w:eastAsia="Times New Roman" w:hAnsi="Arial" w:cs="Arial"/>
          <w:sz w:val="18"/>
          <w:szCs w:val="18"/>
          <w:lang w:eastAsia="fr-FR"/>
        </w:rPr>
        <w:t>Jelenleg Németországban a szarvasmarha és sertés ágazatban, több mint</w:t>
      </w:r>
      <w:r w:rsidR="008C0784" w:rsidRPr="00391A49">
        <w:rPr>
          <w:rFonts w:ascii="Arial" w:eastAsia="Times New Roman" w:hAnsi="Arial" w:cs="Arial"/>
          <w:sz w:val="18"/>
          <w:szCs w:val="18"/>
          <w:lang w:eastAsia="fr-FR"/>
        </w:rPr>
        <w:t xml:space="preserve"> 199 milli</w:t>
      </w:r>
      <w:r w:rsidRPr="00391A49">
        <w:rPr>
          <w:rFonts w:ascii="Arial" w:eastAsia="Times New Roman" w:hAnsi="Arial" w:cs="Arial"/>
          <w:sz w:val="18"/>
          <w:szCs w:val="18"/>
          <w:lang w:eastAsia="fr-FR"/>
        </w:rPr>
        <w:t xml:space="preserve">ó tonna szilárd és hígtrágya képződik, a baromfi ágazatban pedig további 8 millió tonna. A </w:t>
      </w:r>
      <w:r w:rsidR="00A52B2D">
        <w:rPr>
          <w:rFonts w:ascii="Arial" w:eastAsia="Times New Roman" w:hAnsi="Arial" w:cs="Arial"/>
          <w:sz w:val="18"/>
          <w:szCs w:val="18"/>
          <w:lang w:eastAsia="fr-FR"/>
        </w:rPr>
        <w:t>biogáz</w:t>
      </w:r>
      <w:r w:rsidRPr="00391A49">
        <w:rPr>
          <w:rFonts w:ascii="Arial" w:eastAsia="Times New Roman" w:hAnsi="Arial" w:cs="Arial"/>
          <w:sz w:val="18"/>
          <w:szCs w:val="18"/>
          <w:lang w:eastAsia="fr-FR"/>
        </w:rPr>
        <w:t xml:space="preserve"> telepeken felhasznált trágya mennyiség</w:t>
      </w:r>
      <w:r w:rsidR="008C0784" w:rsidRPr="00391A49">
        <w:rPr>
          <w:rFonts w:ascii="Arial" w:eastAsia="Times New Roman" w:hAnsi="Arial" w:cs="Arial"/>
          <w:sz w:val="18"/>
          <w:szCs w:val="18"/>
          <w:lang w:eastAsia="fr-FR"/>
        </w:rPr>
        <w:t xml:space="preserve"> 24.9 milli</w:t>
      </w:r>
      <w:r w:rsidRPr="00391A49">
        <w:rPr>
          <w:rFonts w:ascii="Arial" w:eastAsia="Times New Roman" w:hAnsi="Arial" w:cs="Arial"/>
          <w:sz w:val="18"/>
          <w:szCs w:val="18"/>
          <w:lang w:eastAsia="fr-FR"/>
        </w:rPr>
        <w:t>ó tonna szarvasmarha és sertés trágya és</w:t>
      </w:r>
      <w:r w:rsidR="008C0784" w:rsidRPr="00391A49">
        <w:rPr>
          <w:rFonts w:ascii="Arial" w:eastAsia="Times New Roman" w:hAnsi="Arial" w:cs="Arial"/>
          <w:sz w:val="18"/>
          <w:szCs w:val="18"/>
          <w:lang w:eastAsia="fr-FR"/>
        </w:rPr>
        <w:t xml:space="preserve"> 1.2 milli</w:t>
      </w:r>
      <w:r w:rsidRPr="00391A49">
        <w:rPr>
          <w:rFonts w:ascii="Arial" w:eastAsia="Times New Roman" w:hAnsi="Arial" w:cs="Arial"/>
          <w:sz w:val="18"/>
          <w:szCs w:val="18"/>
          <w:lang w:eastAsia="fr-FR"/>
        </w:rPr>
        <w:t>ó tonna baromfi trágya</w:t>
      </w:r>
      <w:r w:rsidR="00A52B2D">
        <w:rPr>
          <w:rFonts w:ascii="Arial" w:eastAsia="Times New Roman" w:hAnsi="Arial" w:cs="Arial"/>
          <w:sz w:val="18"/>
          <w:szCs w:val="18"/>
          <w:lang w:eastAsia="fr-FR"/>
        </w:rPr>
        <w:t xml:space="preserve"> volt</w:t>
      </w:r>
      <w:r w:rsidR="008C0784" w:rsidRPr="00391A49">
        <w:rPr>
          <w:rFonts w:ascii="Arial" w:eastAsia="Times New Roman" w:hAnsi="Arial" w:cs="Arial"/>
          <w:sz w:val="18"/>
          <w:szCs w:val="18"/>
          <w:lang w:eastAsia="fr-FR"/>
        </w:rPr>
        <w:t>.</w:t>
      </w:r>
      <w:r w:rsidRPr="00391A49">
        <w:rPr>
          <w:rFonts w:ascii="Arial" w:eastAsia="Times New Roman" w:hAnsi="Arial" w:cs="Arial"/>
          <w:sz w:val="18"/>
          <w:szCs w:val="18"/>
          <w:lang w:eastAsia="fr-FR"/>
        </w:rPr>
        <w:t xml:space="preserve"> A biogáz</w:t>
      </w:r>
      <w:r w:rsidR="00A52B2D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Pr="00391A49">
        <w:rPr>
          <w:rFonts w:ascii="Arial" w:eastAsia="Times New Roman" w:hAnsi="Arial" w:cs="Arial"/>
          <w:sz w:val="18"/>
          <w:szCs w:val="18"/>
          <w:lang w:eastAsia="fr-FR"/>
        </w:rPr>
        <w:t>telepek a termelt trágya 12.6</w:t>
      </w:r>
      <w:r w:rsidR="008C0784" w:rsidRPr="00391A49">
        <w:rPr>
          <w:rFonts w:ascii="Arial" w:eastAsia="Times New Roman" w:hAnsi="Arial" w:cs="Arial"/>
          <w:sz w:val="18"/>
          <w:szCs w:val="18"/>
          <w:lang w:eastAsia="fr-FR"/>
        </w:rPr>
        <w:t xml:space="preserve">% </w:t>
      </w:r>
      <w:r w:rsidR="00A52B2D">
        <w:rPr>
          <w:rFonts w:ascii="Arial" w:eastAsia="Times New Roman" w:hAnsi="Arial" w:cs="Arial"/>
          <w:sz w:val="18"/>
          <w:szCs w:val="18"/>
          <w:lang w:eastAsia="fr-FR"/>
        </w:rPr>
        <w:t>át hasznosítják.</w:t>
      </w:r>
    </w:p>
    <w:sectPr w:rsidR="008C0784" w:rsidRPr="00391A49" w:rsidSect="00EB4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102C"/>
    <w:multiLevelType w:val="multilevel"/>
    <w:tmpl w:val="F36E7E84"/>
    <w:lvl w:ilvl="0">
      <w:start w:val="1"/>
      <w:numFmt w:val="decimal"/>
      <w:pStyle w:val="INtit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INtit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INtitl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INtitl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84"/>
    <w:rsid w:val="000E1061"/>
    <w:rsid w:val="00144515"/>
    <w:rsid w:val="00207581"/>
    <w:rsid w:val="002B4974"/>
    <w:rsid w:val="00377ADC"/>
    <w:rsid w:val="00391A49"/>
    <w:rsid w:val="004C6534"/>
    <w:rsid w:val="004D62D6"/>
    <w:rsid w:val="00604826"/>
    <w:rsid w:val="00637F86"/>
    <w:rsid w:val="006E2E89"/>
    <w:rsid w:val="008C0784"/>
    <w:rsid w:val="009456DF"/>
    <w:rsid w:val="009472C8"/>
    <w:rsid w:val="009A1A70"/>
    <w:rsid w:val="00A52B2D"/>
    <w:rsid w:val="00A670C4"/>
    <w:rsid w:val="00B13947"/>
    <w:rsid w:val="00B15230"/>
    <w:rsid w:val="00BF6869"/>
    <w:rsid w:val="00C35ADD"/>
    <w:rsid w:val="00DC183F"/>
    <w:rsid w:val="00E01630"/>
    <w:rsid w:val="00E11983"/>
    <w:rsid w:val="00E13256"/>
    <w:rsid w:val="00E41E8D"/>
    <w:rsid w:val="00EB4EEF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C0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C0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C0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0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Ntitle1">
    <w:name w:val="INtitle1"/>
    <w:basedOn w:val="Cmsor1"/>
    <w:next w:val="INnormal"/>
    <w:rsid w:val="008C0784"/>
    <w:pPr>
      <w:keepNext w:val="0"/>
      <w:keepLines w:val="0"/>
      <w:numPr>
        <w:numId w:val="1"/>
      </w:numPr>
      <w:spacing w:before="120" w:after="240" w:line="240" w:lineRule="auto"/>
    </w:pPr>
    <w:rPr>
      <w:rFonts w:ascii="Arial" w:eastAsia="Times New Roman" w:hAnsi="Arial" w:cs="Times New Roman"/>
      <w:bCs w:val="0"/>
      <w:color w:val="auto"/>
      <w:szCs w:val="20"/>
      <w:lang w:val="en-GB" w:eastAsia="fr-FR"/>
    </w:rPr>
  </w:style>
  <w:style w:type="paragraph" w:customStyle="1" w:styleId="INtitle2">
    <w:name w:val="INtitle2"/>
    <w:basedOn w:val="Cmsor2"/>
    <w:next w:val="INnormal"/>
    <w:rsid w:val="008C0784"/>
    <w:pPr>
      <w:keepLines w:val="0"/>
      <w:numPr>
        <w:ilvl w:val="1"/>
        <w:numId w:val="1"/>
      </w:numPr>
      <w:spacing w:before="120" w:after="120" w:line="240" w:lineRule="auto"/>
    </w:pPr>
    <w:rPr>
      <w:rFonts w:ascii="Arial" w:eastAsia="Times New Roman" w:hAnsi="Arial" w:cs="Arial"/>
      <w:bCs w:val="0"/>
      <w:i/>
      <w:color w:val="auto"/>
      <w:sz w:val="24"/>
      <w:szCs w:val="24"/>
      <w:lang w:val="en-GB" w:eastAsia="fr-FR"/>
    </w:rPr>
  </w:style>
  <w:style w:type="paragraph" w:customStyle="1" w:styleId="INtitle3">
    <w:name w:val="INtitle3"/>
    <w:basedOn w:val="Cmsor3"/>
    <w:next w:val="INnormal"/>
    <w:rsid w:val="008C0784"/>
    <w:pPr>
      <w:keepLines w:val="0"/>
      <w:numPr>
        <w:ilvl w:val="2"/>
        <w:numId w:val="1"/>
      </w:numPr>
      <w:spacing w:before="0" w:after="120" w:line="240" w:lineRule="auto"/>
    </w:pPr>
    <w:rPr>
      <w:rFonts w:ascii="Arial" w:eastAsia="Times New Roman" w:hAnsi="Arial" w:cs="Times New Roman"/>
      <w:bCs w:val="0"/>
      <w:color w:val="auto"/>
      <w:szCs w:val="20"/>
      <w:lang w:val="en-GB" w:eastAsia="fr-FR"/>
    </w:rPr>
  </w:style>
  <w:style w:type="paragraph" w:customStyle="1" w:styleId="INtitle4">
    <w:name w:val="INtitle4"/>
    <w:basedOn w:val="Cmsor4"/>
    <w:next w:val="INnormal"/>
    <w:rsid w:val="008C0784"/>
    <w:pPr>
      <w:keepLines w:val="0"/>
      <w:numPr>
        <w:ilvl w:val="3"/>
        <w:numId w:val="1"/>
      </w:numPr>
      <w:spacing w:before="0" w:after="120" w:line="240" w:lineRule="auto"/>
    </w:pPr>
    <w:rPr>
      <w:rFonts w:asciiTheme="minorHAnsi" w:eastAsia="Times New Roman" w:hAnsiTheme="minorHAnsi" w:cstheme="minorHAnsi"/>
      <w:bCs w:val="0"/>
      <w:iCs w:val="0"/>
      <w:color w:val="auto"/>
      <w:szCs w:val="20"/>
      <w:lang w:val="fr-FR" w:eastAsia="fr-FR"/>
    </w:rPr>
  </w:style>
  <w:style w:type="paragraph" w:customStyle="1" w:styleId="INnormal">
    <w:name w:val="INnormal"/>
    <w:basedOn w:val="Norml"/>
    <w:qFormat/>
    <w:rsid w:val="008C0784"/>
    <w:rPr>
      <w:rFonts w:eastAsia="Times New Roman" w:cs="Times New Roman"/>
      <w:szCs w:val="20"/>
      <w:lang w:val="en-GB" w:eastAsia="fr-FR"/>
    </w:rPr>
  </w:style>
  <w:style w:type="paragraph" w:customStyle="1" w:styleId="INcaption">
    <w:name w:val="INcaption"/>
    <w:basedOn w:val="INnormal"/>
    <w:qFormat/>
    <w:rsid w:val="008C0784"/>
  </w:style>
  <w:style w:type="table" w:styleId="Rcsostblzat">
    <w:name w:val="Table Grid"/>
    <w:basedOn w:val="Normltblzat"/>
    <w:uiPriority w:val="59"/>
    <w:rsid w:val="008C0784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8C0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C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C0784"/>
    <w:rPr>
      <w:rFonts w:asciiTheme="majorHAnsi" w:eastAsiaTheme="majorEastAsia" w:hAnsiTheme="majorHAnsi" w:cstheme="majorBidi"/>
      <w:b/>
      <w:bCs/>
      <w:color w:val="4F81BD" w:themeColor="accent1"/>
      <w:lang w:val="nl-B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0784"/>
    <w:rPr>
      <w:rFonts w:asciiTheme="majorHAnsi" w:eastAsiaTheme="majorEastAsia" w:hAnsiTheme="majorHAnsi" w:cstheme="majorBidi"/>
      <w:b/>
      <w:bCs/>
      <w:i/>
      <w:iCs/>
      <w:color w:val="4F81BD" w:themeColor="accent1"/>
      <w:lang w:val="nl-B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784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C07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C07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C07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C07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Ntitle1">
    <w:name w:val="INtitle1"/>
    <w:basedOn w:val="Cmsor1"/>
    <w:next w:val="INnormal"/>
    <w:rsid w:val="008C0784"/>
    <w:pPr>
      <w:keepNext w:val="0"/>
      <w:keepLines w:val="0"/>
      <w:numPr>
        <w:numId w:val="1"/>
      </w:numPr>
      <w:spacing w:before="120" w:after="240" w:line="240" w:lineRule="auto"/>
    </w:pPr>
    <w:rPr>
      <w:rFonts w:ascii="Arial" w:eastAsia="Times New Roman" w:hAnsi="Arial" w:cs="Times New Roman"/>
      <w:bCs w:val="0"/>
      <w:color w:val="auto"/>
      <w:szCs w:val="20"/>
      <w:lang w:val="en-GB" w:eastAsia="fr-FR"/>
    </w:rPr>
  </w:style>
  <w:style w:type="paragraph" w:customStyle="1" w:styleId="INtitle2">
    <w:name w:val="INtitle2"/>
    <w:basedOn w:val="Cmsor2"/>
    <w:next w:val="INnormal"/>
    <w:rsid w:val="008C0784"/>
    <w:pPr>
      <w:keepLines w:val="0"/>
      <w:numPr>
        <w:ilvl w:val="1"/>
        <w:numId w:val="1"/>
      </w:numPr>
      <w:spacing w:before="120" w:after="120" w:line="240" w:lineRule="auto"/>
    </w:pPr>
    <w:rPr>
      <w:rFonts w:ascii="Arial" w:eastAsia="Times New Roman" w:hAnsi="Arial" w:cs="Arial"/>
      <w:bCs w:val="0"/>
      <w:i/>
      <w:color w:val="auto"/>
      <w:sz w:val="24"/>
      <w:szCs w:val="24"/>
      <w:lang w:val="en-GB" w:eastAsia="fr-FR"/>
    </w:rPr>
  </w:style>
  <w:style w:type="paragraph" w:customStyle="1" w:styleId="INtitle3">
    <w:name w:val="INtitle3"/>
    <w:basedOn w:val="Cmsor3"/>
    <w:next w:val="INnormal"/>
    <w:rsid w:val="008C0784"/>
    <w:pPr>
      <w:keepLines w:val="0"/>
      <w:numPr>
        <w:ilvl w:val="2"/>
        <w:numId w:val="1"/>
      </w:numPr>
      <w:spacing w:before="0" w:after="120" w:line="240" w:lineRule="auto"/>
    </w:pPr>
    <w:rPr>
      <w:rFonts w:ascii="Arial" w:eastAsia="Times New Roman" w:hAnsi="Arial" w:cs="Times New Roman"/>
      <w:bCs w:val="0"/>
      <w:color w:val="auto"/>
      <w:szCs w:val="20"/>
      <w:lang w:val="en-GB" w:eastAsia="fr-FR"/>
    </w:rPr>
  </w:style>
  <w:style w:type="paragraph" w:customStyle="1" w:styleId="INtitle4">
    <w:name w:val="INtitle4"/>
    <w:basedOn w:val="Cmsor4"/>
    <w:next w:val="INnormal"/>
    <w:rsid w:val="008C0784"/>
    <w:pPr>
      <w:keepLines w:val="0"/>
      <w:numPr>
        <w:ilvl w:val="3"/>
        <w:numId w:val="1"/>
      </w:numPr>
      <w:spacing w:before="0" w:after="120" w:line="240" w:lineRule="auto"/>
    </w:pPr>
    <w:rPr>
      <w:rFonts w:asciiTheme="minorHAnsi" w:eastAsia="Times New Roman" w:hAnsiTheme="minorHAnsi" w:cstheme="minorHAnsi"/>
      <w:bCs w:val="0"/>
      <w:iCs w:val="0"/>
      <w:color w:val="auto"/>
      <w:szCs w:val="20"/>
      <w:lang w:val="fr-FR" w:eastAsia="fr-FR"/>
    </w:rPr>
  </w:style>
  <w:style w:type="paragraph" w:customStyle="1" w:styleId="INnormal">
    <w:name w:val="INnormal"/>
    <w:basedOn w:val="Norml"/>
    <w:qFormat/>
    <w:rsid w:val="008C0784"/>
    <w:rPr>
      <w:rFonts w:eastAsia="Times New Roman" w:cs="Times New Roman"/>
      <w:szCs w:val="20"/>
      <w:lang w:val="en-GB" w:eastAsia="fr-FR"/>
    </w:rPr>
  </w:style>
  <w:style w:type="paragraph" w:customStyle="1" w:styleId="INcaption">
    <w:name w:val="INcaption"/>
    <w:basedOn w:val="INnormal"/>
    <w:qFormat/>
    <w:rsid w:val="008C0784"/>
  </w:style>
  <w:style w:type="table" w:styleId="Rcsostblzat">
    <w:name w:val="Table Grid"/>
    <w:basedOn w:val="Normltblzat"/>
    <w:uiPriority w:val="59"/>
    <w:rsid w:val="008C0784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8C0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C0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C0784"/>
    <w:rPr>
      <w:rFonts w:asciiTheme="majorHAnsi" w:eastAsiaTheme="majorEastAsia" w:hAnsiTheme="majorHAnsi" w:cstheme="majorBidi"/>
      <w:b/>
      <w:bCs/>
      <w:color w:val="4F81BD" w:themeColor="accent1"/>
      <w:lang w:val="nl-B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C0784"/>
    <w:rPr>
      <w:rFonts w:asciiTheme="majorHAnsi" w:eastAsiaTheme="majorEastAsia" w:hAnsiTheme="majorHAnsi" w:cstheme="majorBidi"/>
      <w:b/>
      <w:bCs/>
      <w:i/>
      <w:iCs/>
      <w:color w:val="4F81BD" w:themeColor="accent1"/>
      <w:lang w:val="nl-B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784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Izes gGmbH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ziegler</dc:creator>
  <cp:lastModifiedBy>Zoli</cp:lastModifiedBy>
  <cp:revision>14</cp:revision>
  <dcterms:created xsi:type="dcterms:W3CDTF">2014-04-09T19:31:00Z</dcterms:created>
  <dcterms:modified xsi:type="dcterms:W3CDTF">2014-04-10T10:29:00Z</dcterms:modified>
</cp:coreProperties>
</file>